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GaodaTitle"/>
      </w:pPr>
      <w:r>
        <w:t xml:space="preserve">信息技术与课堂教学深度融合的路径探析</w:t>
      </w:r>
    </w:p>
    <w:p>
      <w:pPr>
        <w:pStyle w:val="GaodaHeading1"/>
      </w:pPr>
      <w:r>
        <w:t xml:space="preserve">一、引言：从技术应用走向教学变革</w:t>
      </w:r>
    </w:p>
    <w:p>
      <w:pPr>
        <w:pStyle w:val="GaodaBody"/>
      </w:pPr>
      <w:r>
        <w:t xml:space="preserve">当前课堂中，工具虽已普遍使用，但进入课堂并不等于信息技术与教学实现深度融合。若技术只是替代板书、增加展示，未能回应教学目标、改善学生学习过程或支持评价反馈，便难以转化为真实的教学变革。教育信息化2.0提出由融合应用迈向创新发展，并强调提升师生信息素养，说明技术应用不应止于“会使用”，而要推动教育教学方式创新</w:t>
      </w:r>
      <w:r>
        <w:rPr>
          <w:rStyle w:val="GaodaCite"/>
          <w:vertAlign w:val="superscript"/>
        </w:rPr>
        <w:t xml:space="preserve">[1]</w:t>
      </w:r>
      <w:r>
        <w:t xml:space="preserve">。教师能力提升工程要求以校为本、基于课堂、应用驱动，推动技术服务课堂教学、学情分析和学业评价</w:t>
      </w:r>
      <w:r>
        <w:rPr>
          <w:rStyle w:val="GaodaCite"/>
          <w:vertAlign w:val="superscript"/>
        </w:rPr>
        <w:t xml:space="preserve">[2]</w:t>
      </w:r>
      <w:r>
        <w:t xml:space="preserve">。因此，探讨深度融合路径有助于回应教育信息化转型，也关乎技术能否促进教学创新、支持学生发展。本文认为，深度融合应以育人目标为导向，以教师信息素养和课堂教学改革为核心，依托学校整体规划、资源平台及协同机制推进；成效须由教学质量和学生发展检验。</w:t>
      </w:r>
    </w:p>
    <w:p>
      <w:pPr>
        <w:pStyle w:val="GaodaHeading1"/>
      </w:pPr>
      <w:r>
        <w:t xml:space="preserve">二、理论与政策基础：深度融合的目标及内涵</w:t>
      </w:r>
    </w:p>
    <w:p>
      <w:pPr>
        <w:pStyle w:val="GaodaBody"/>
      </w:pPr>
      <w:r>
        <w:t xml:space="preserve">教育信息化由工具普及转向教育生态变革。《教育信息化2.0行动计划》提出教育资源从专用转向大资源，师生能力从信息技术应用转向全面信息素养，应用从融合转向创新发展</w:t>
      </w:r>
      <w:r>
        <w:rPr>
          <w:rStyle w:val="GaodaCite"/>
          <w:vertAlign w:val="superscript"/>
        </w:rPr>
        <w:t xml:space="preserve">[1]</w:t>
      </w:r>
      <w:r>
        <w:t xml:space="preserve">。这要求资源、主体能力与应用目标同步拓展，师生须超越工具操作，善用信息支持教与学。</w:t>
      </w:r>
    </w:p>
    <w:p>
      <w:pPr>
        <w:pStyle w:val="GaodaBody"/>
      </w:pPr>
      <w:r>
        <w:t xml:space="preserve">教育现代化为技术融入课堂确立价值尺度。《中国教育现代化2035》强调面向人人、因材施教、融合发展、共建共享，提出利用现代技术改革人才培养模式，实现规模化教育与个性化培养有机结合</w:t>
      </w:r>
      <w:r>
        <w:rPr>
          <w:rStyle w:val="GaodaCite"/>
          <w:vertAlign w:val="superscript"/>
        </w:rPr>
        <w:t xml:space="preserve">[3]</w:t>
      </w:r>
      <w:r>
        <w:t xml:space="preserve">。因此，技术既要扩大优质资源可及性，也要回应学生差异。</w:t>
      </w:r>
    </w:p>
    <w:p>
      <w:pPr>
        <w:pStyle w:val="GaodaBody"/>
      </w:pPr>
      <w:r>
        <w:t xml:space="preserve">本文所说的深度融合，不是增加设备或软件使用，而是使技术与课程目标、教学活动、学习支持和评价相衔接。教师应依目标与学情配置技术，并据评价反馈调整教学；只有技术推动教学方式和人才培养模式改进，才实现深度融合。</w:t>
      </w:r>
    </w:p>
    <w:p>
      <w:pPr>
        <w:pStyle w:val="GaodaHeading1"/>
      </w:pPr>
      <w:r>
        <w:t xml:space="preserve">三、路径一：以学习目标和教学设计统整技术应用</w:t>
      </w:r>
    </w:p>
    <w:p>
      <w:pPr>
        <w:pStyle w:val="GaodaBody"/>
      </w:pPr>
      <w:r>
        <w:t xml:space="preserve">技术选择应从课程目标和学生任务出发，而非先选平台或设备。教师明确本课的概念、思维或实践目标，再判断数字资源与工具能否有效支持。若工具只增添动画展示，未促进知识理解、推理表达或动手探究，就不应成为教学中心。技术应服务教学创新，并与学情分析、教学和学业评价相衔接</w:t>
      </w:r>
      <w:r>
        <w:rPr>
          <w:rStyle w:val="GaodaCite"/>
          <w:vertAlign w:val="superscript"/>
        </w:rPr>
        <w:t xml:space="preserve">[2]</w:t>
      </w:r>
      <w:r>
        <w:t xml:space="preserve">。</w:t>
      </w:r>
    </w:p>
    <w:p>
      <w:pPr>
        <w:pStyle w:val="GaodaBody"/>
      </w:pPr>
      <w:r>
        <w:t xml:space="preserve">课前、课中、课后应构成连续过程：课前用资源引题并了解已有认识；课中围绕任务讨论、操作、获取反馈；课后依据表现提供巩固材料，使资源、互动、评价与复习相衔接。安排须随学科特点、内容难度和学生经验调整，不宜套用统一流程。数字资源可支持分层供给和个性化学习，但推送只是支持，教师仍须依据学生表现判断并给予解释、追问或补救，不能把材料不同等同于个别化指导；这与因材施教、促进规模化教育和个性化培养相结合的理念一致</w:t>
      </w:r>
      <w:r>
        <w:rPr>
          <w:rStyle w:val="GaodaCite"/>
          <w:vertAlign w:val="superscript"/>
        </w:rPr>
        <w:t xml:space="preserve">[3]</w:t>
      </w:r>
      <w:r>
        <w:t xml:space="preserve">。学校还需提供资源与平台，通过教研检验技术是否改善学习过程，而非只统计使用频次；整校规划与课堂应用相结合可提供支撑</w:t>
      </w:r>
      <w:r>
        <w:rPr>
          <w:rStyle w:val="GaodaCite"/>
          <w:vertAlign w:val="superscript"/>
        </w:rPr>
        <w:t xml:space="preserve">[2]</w:t>
      </w:r>
      <w:r>
        <w:t xml:space="preserve">。</w:t>
      </w:r>
    </w:p>
    <w:p>
      <w:pPr>
        <w:pStyle w:val="GaodaHeading1"/>
      </w:pPr>
      <w:r>
        <w:t xml:space="preserve">四、路径二：以教师信息素养和课堂实践为核心</w:t>
      </w:r>
    </w:p>
    <w:p>
      <w:pPr>
        <w:pStyle w:val="GaodaBody"/>
      </w:pPr>
      <w:r>
        <w:t xml:space="preserve">教师是信息技术与课堂教学深度融合的关键，技术促学取决于教师能否将其转化为有效教学手段。教师信息素养不能止于设备、平台操作，还须用技术组织课堂、分析学情、开展学业评价。提升工程提出上述要求，强调技术应贯穿教学决策与反馈，而非停留于工具使用</w:t>
      </w:r>
      <w:r>
        <w:rPr>
          <w:rStyle w:val="GaodaCite"/>
          <w:vertAlign w:val="superscript"/>
        </w:rPr>
        <w:t xml:space="preserve">[2]</w:t>
      </w:r>
      <w:r>
        <w:t xml:space="preserve">。例如，教师可结合学习记录、课堂观察和学生作品判断理解困难，调整任务与指导，不能将平台数据等同于学习质量。</w:t>
      </w:r>
    </w:p>
    <w:p>
      <w:pPr>
        <w:pStyle w:val="GaodaBody"/>
      </w:pPr>
      <w:r>
        <w:t xml:space="preserve">教师发展坚持以校为本、基于课堂、应用驱动、注重创新，以测评促改。培训不应止于软件讲授，应围绕真实教学任务，通过共同设计、课堂实施、证据分析与反思修订回应实际问题。政策要求以学校信息化教育教学发展规划引领整校推进，提升校长信息化领导力、教师信息化教学能力和培训团队指导能力</w:t>
      </w:r>
      <w:r>
        <w:rPr>
          <w:rStyle w:val="GaodaCite"/>
          <w:vertAlign w:val="superscript"/>
        </w:rPr>
        <w:t xml:space="preserve">[2]</w:t>
      </w:r>
      <w:r>
        <w:t xml:space="preserve">。学校统筹教研资源、推动教师协作，依托信息化教学创新团队探索跨学科教学，使技术服务问题探究而非展示</w:t>
      </w:r>
      <w:r>
        <w:rPr>
          <w:rStyle w:val="GaodaCite"/>
          <w:vertAlign w:val="superscript"/>
        </w:rPr>
        <w:t xml:space="preserve">[2]</w:t>
      </w:r>
      <w:r>
        <w:t xml:space="preserve">。能力测评应识别优势短板、支持改进，不能简化为排名或材料验收。</w:t>
      </w:r>
    </w:p>
    <w:p>
      <w:pPr>
        <w:pStyle w:val="GaodaHeading1"/>
      </w:pPr>
      <w:r>
        <w:t xml:space="preserve">五、路径三：以平台、资源和学校机制支撑融合</w:t>
      </w:r>
    </w:p>
    <w:p>
      <w:pPr>
        <w:pStyle w:val="GaodaBody"/>
      </w:pPr>
      <w:r>
        <w:t xml:space="preserve">平台建设应从“各自为用”转向协同支撑。学校可统筹教学、管理与服务平台，使资源调用、课堂实施、学情记录和教研反馈相互衔接，减少信息孤岛及重复操作。《中国教育现代化2035》提出建设智能化校园，统筹建设一体化智能化教学、管理与服务平台</w:t>
      </w:r>
      <w:r>
        <w:rPr>
          <w:rStyle w:val="GaodaCite"/>
          <w:vertAlign w:val="superscript"/>
        </w:rPr>
        <w:t xml:space="preserve">[3]</w:t>
      </w:r>
      <w:r>
        <w:t xml:space="preserve">。平台成效应看是否便利师生、支持教学决策，而非设备数量。</w:t>
      </w:r>
    </w:p>
    <w:p>
      <w:pPr>
        <w:pStyle w:val="GaodaBody"/>
      </w:pPr>
      <w:r>
        <w:t xml:space="preserve">资源供给应转向共享协同。学校和教研组依据课程目标、学生基础与任务需要筛选、改编资源并嵌入教学。《教育信息化2.0行动计划》提出从教育专用资源转向教育大资源，并部署数字资源服务普及、网络学习空间覆盖等行动</w:t>
      </w:r>
      <w:r>
        <w:rPr>
          <w:rStyle w:val="GaodaCite"/>
          <w:vertAlign w:val="superscript"/>
        </w:rPr>
        <w:t xml:space="preserve">[1]</w:t>
      </w:r>
      <w:r>
        <w:t xml:space="preserve">。资源应适配学习并持续更新。</w:t>
      </w:r>
    </w:p>
    <w:p>
      <w:pPr>
        <w:pStyle w:val="GaodaBody"/>
      </w:pPr>
      <w:r>
        <w:t xml:space="preserve">深度融合还需校内机制保障。学校以发展规划统筹教研协作、教师培训和课堂实践，通过共同备课、课例研讨与反馈改进，推动技术应用常态化。能力提升工程要求以学校规划为引领、整校推进培训，并推动技术用于课堂教学、学情分析和评价</w:t>
      </w:r>
      <w:r>
        <w:rPr>
          <w:rStyle w:val="GaodaCite"/>
          <w:vertAlign w:val="superscript"/>
        </w:rPr>
        <w:t xml:space="preserve">[2]</w:t>
      </w:r>
      <w:r>
        <w:t xml:space="preserve">。同时关注公平与可及性，结合数字校园建设、网络学习空间覆盖要求，识别学校和学习者在网络、设备及服务上的差异，补足薄弱环节，确保获得支持</w:t>
      </w:r>
      <w:r>
        <w:rPr>
          <w:rStyle w:val="GaodaCite"/>
          <w:vertAlign w:val="superscript"/>
        </w:rPr>
        <w:t xml:space="preserve">[1]</w:t>
      </w:r>
      <w:r>
        <w:t xml:space="preserve">。</w:t>
      </w:r>
    </w:p>
    <w:p>
      <w:pPr>
        <w:pStyle w:val="GaodaHeading1"/>
      </w:pPr>
      <w:r>
        <w:t xml:space="preserve">六、结论：以教学质量和学生发展检验融合成效</w:t>
      </w:r>
    </w:p>
    <w:p>
      <w:pPr>
        <w:pStyle w:val="GaodaBody"/>
      </w:pPr>
      <w:r>
        <w:t xml:space="preserve">综上，信息技术与课堂教学深度融合不是设备、平台的简单叠加，也不能以工具使用频率或配置水平作为成效终点；关键在于统整育人目标、课堂设计、教师发展与学校支持，使技术服务真实学习需要和教学改进。推进时应先明确育人目标与课堂问题，再据此组织资源、选择技术、设计活动，并通过教师协作、课堂实践和评价反馈持续调整，避免为技术而技术。实践中应坚持以德为先、全面发展、面向人人、因材施教，优化教学、拓展学习机会并支持学生发展。《中国教育现代化2035》强调以德为先、全面发展和因材施教，并提出利用现代技术推动人才培养模式改革，促进规模化教育与个性化培养有机结合</w:t>
      </w:r>
      <w:r>
        <w:rPr>
          <w:rStyle w:val="GaodaCite"/>
          <w:vertAlign w:val="superscript"/>
        </w:rPr>
        <w:t xml:space="preserve">[3]</w:t>
      </w:r>
      <w:r>
        <w:t xml:space="preserve">。因此，融合成效应看其是否改善教学质量、促进学生发展、服务教育现代化目标，而非技术新颖性或应用数量。</w:t>
      </w:r>
    </w:p>
    <w:p>
      <w:pPr>
        <w:pStyle w:val="GaodaRefHeading"/>
      </w:pPr>
      <w:r>
        <w:t xml:space="preserve">参考文献</w:t>
      </w:r>
    </w:p>
    <w:p>
      <w:pPr>
        <w:pStyle w:val="GaodaReference"/>
      </w:pPr>
      <w:r>
        <w:t xml:space="preserve">[1] 中华人民共和国教育部. 教育信息化2.0行动计划[Z]. 北京: 中华人民共和国教育部, 2018.</w:t>
      </w:r>
    </w:p>
    <w:p>
      <w:pPr>
        <w:pStyle w:val="GaodaReference"/>
      </w:pPr>
      <w:r>
        <w:t xml:space="preserve">[2] 中华人民共和国教育部. 关于实施全国中小学教师信息技术应用能力提升工程2.0的意见[Z]. 北京: 中华人民共和国教育部, 2019.</w:t>
      </w:r>
    </w:p>
    <w:p>
      <w:pPr>
        <w:pStyle w:val="GaodaReference"/>
      </w:pPr>
      <w:r>
        <w:t xml:space="preserve">[3] 中共中央, 国务院. 中国教育现代化2035[Z]. 北京: 中共中央, 国务院, 2019.</w:t>
      </w:r>
    </w:p>
    <w:p>
      <w:pPr>
        <w:pStyle w:val="GaodaAiMark"/>
      </w:pPr>
      <w:r>
        <w:t xml:space="preserve">本文由 AI 生成（igaoda.cn）</w:t>
      </w:r>
    </w:p>
    <w:sectPr>
      <w:pgSz w:w="11906" w:h="16838" w:orient="portrait"/>
      <w:pgMar w:top="1440" w:right="1800" w:bottom="1440" w:left="18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/>
        <w:sz w:val="24"/>
        <w:szCs w:val="24"/>
      </w:rPr>
    </w:rPrDefault>
    <w:pPrDefault>
      <w:pPr>
        <w:spacing w:line="360" w:lineRule="auto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GaodaTitle">
    <w:name w:val="Gaoda Title"/>
    <w:basedOn w:val="Normal"/>
    <w:pPr>
      <w:spacing w:after="360" w:before="240"/>
      <w:jc w:val="center"/>
    </w:pPr>
    <w:rPr>
      <w:rFonts w:ascii="Times New Roman" w:cs="Times New Roman" w:eastAsia="黑体" w:hAnsi="Times New Roman"/>
      <w:b/>
      <w:bCs/>
      <w:sz w:val="36"/>
      <w:szCs w:val="36"/>
    </w:rPr>
  </w:style>
  <w:style w:type="paragraph" w:styleId="GaodaHeading1">
    <w:name w:val="Gaoda Heading 1"/>
    <w:basedOn w:val="Normal"/>
    <w:next w:val="GaodaBody"/>
    <w:pPr>
      <w:spacing w:after="120" w:before="240"/>
      <w:outlineLvl w:val="0"/>
    </w:pPr>
    <w:rPr>
      <w:rFonts w:ascii="Times New Roman" w:cs="Times New Roman" w:eastAsia="黑体" w:hAnsi="Times New Roman"/>
      <w:b/>
      <w:bCs/>
      <w:sz w:val="32"/>
      <w:szCs w:val="32"/>
    </w:rPr>
  </w:style>
  <w:style w:type="paragraph" w:styleId="GaodaBody">
    <w:name w:val="Gaoda Body"/>
    <w:basedOn w:val="Normal"/>
    <w:pPr>
      <w:spacing w:line="360" w:lineRule="auto"/>
      <w:ind w:firstLineChars="200"/>
      <w:jc w:val="both"/>
    </w:pPr>
    <w:rPr>
      <w:rFonts w:ascii="Times New Roman" w:cs="Times New Roman" w:eastAsia="宋体" w:hAnsi="Times New Roman"/>
      <w:sz w:val="24"/>
      <w:szCs w:val="24"/>
    </w:rPr>
  </w:style>
  <w:style w:type="paragraph" w:styleId="GaodaRefHeading">
    <w:name w:val="Gaoda References Heading"/>
    <w:basedOn w:val="Normal"/>
    <w:pPr>
      <w:spacing w:after="120" w:before="360"/>
    </w:pPr>
    <w:rPr>
      <w:rFonts w:ascii="Times New Roman" w:cs="Times New Roman" w:eastAsia="黑体" w:hAnsi="Times New Roman"/>
      <w:b/>
      <w:bCs/>
      <w:sz w:val="32"/>
      <w:szCs w:val="32"/>
    </w:rPr>
  </w:style>
  <w:style w:type="paragraph" w:styleId="GaodaReference">
    <w:name w:val="Gaoda Reference"/>
    <w:basedOn w:val="Normal"/>
    <w:pPr>
      <w:spacing w:line="300" w:lineRule="auto"/>
      <w:ind w:left="420" w:hanging="420"/>
      <w:jc w:val="left"/>
    </w:pPr>
    <w:rPr>
      <w:rFonts w:ascii="Times New Roman" w:cs="Times New Roman" w:eastAsia="宋体" w:hAnsi="Times New Roman"/>
      <w:sz w:val="21"/>
      <w:szCs w:val="21"/>
    </w:rPr>
  </w:style>
  <w:style w:type="paragraph" w:styleId="GaodaAddressee">
    <w:name w:val="Gaoda Addressee"/>
    <w:basedOn w:val="Normal"/>
    <w:pPr>
      <w:spacing w:line="360" w:lineRule="auto"/>
      <w:jc w:val="left"/>
    </w:pPr>
    <w:rPr>
      <w:rFonts w:ascii="Times New Roman" w:cs="Times New Roman" w:eastAsia="宋体" w:hAnsi="Times New Roman"/>
      <w:sz w:val="24"/>
      <w:szCs w:val="24"/>
    </w:rPr>
  </w:style>
  <w:style w:type="paragraph" w:styleId="GaodaClosing">
    <w:name w:val="Gaoda Closing"/>
    <w:basedOn w:val="Normal"/>
    <w:pPr>
      <w:spacing w:line="360" w:lineRule="auto"/>
      <w:ind w:right="640"/>
      <w:jc w:val="right"/>
    </w:pPr>
    <w:rPr>
      <w:rFonts w:ascii="Times New Roman" w:cs="Times New Roman" w:eastAsia="宋体" w:hAnsi="Times New Roman"/>
      <w:sz w:val="24"/>
      <w:szCs w:val="24"/>
    </w:rPr>
  </w:style>
  <w:style w:type="paragraph" w:styleId="GaodaTableTitle">
    <w:name w:val="Gaoda Table Title"/>
    <w:basedOn w:val="Normal"/>
    <w:pPr>
      <w:spacing w:after="60" w:before="240" w:line="300" w:lineRule="auto"/>
      <w:jc w:val="center"/>
    </w:pPr>
    <w:rPr>
      <w:rFonts w:ascii="Times New Roman" w:cs="Times New Roman" w:eastAsia="黑体" w:hAnsi="Times New Roman"/>
      <w:b/>
      <w:bCs/>
      <w:sz w:val="21"/>
      <w:szCs w:val="21"/>
    </w:rPr>
  </w:style>
  <w:style w:type="paragraph" w:styleId="GaodaTableCell">
    <w:name w:val="Gaoda Table Cell"/>
    <w:basedOn w:val="Normal"/>
    <w:pPr>
      <w:spacing w:line="276" w:lineRule="auto"/>
      <w:jc w:val="center"/>
    </w:pPr>
    <w:rPr>
      <w:rFonts w:ascii="Times New Roman" w:cs="Times New Roman" w:eastAsia="宋体" w:hAnsi="Times New Roman"/>
      <w:sz w:val="21"/>
      <w:szCs w:val="21"/>
    </w:rPr>
  </w:style>
  <w:style w:type="paragraph" w:styleId="GaodaAiMark">
    <w:name w:val="Gaoda AI Mark"/>
    <w:basedOn w:val="Normal"/>
    <w:pPr>
      <w:spacing w:before="360"/>
      <w:jc w:val="right"/>
    </w:pPr>
    <w:rPr>
      <w:rFonts w:ascii="Times New Roman" w:cs="Times New Roman" w:eastAsia="宋体" w:hAnsi="Times New Roman"/>
      <w:color w:val="666666"/>
      <w:sz w:val="18"/>
      <w:szCs w:val="18"/>
    </w:rPr>
  </w:style>
  <w:style w:type="character" w:styleId="GaodaCite">
    <w:name w:val="Gaoda Citation"/>
    <w:basedOn w:val="DefaultParagraphFont"/>
    <w:uiPriority w:val="99"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信息技术与课堂教学深度融合的路径探析</dc:title>
  <dc:creator>igaoda.cn</dc:creator>
  <cp:keywords>AIGC</cp:keywords>
  <dc:description>AI 生成内容；服务提供者 igaoda.cn；内容编号 202610026646001886-9d883980-1</dc:description>
  <cp:lastModifiedBy>Un-named</cp:lastModifiedBy>
  <cp:revision>1</cp:revision>
  <dcterms:created xsi:type="dcterms:W3CDTF">2026-10-02T01:33:01.006Z</dcterms:created>
  <dcterms:modified xsi:type="dcterms:W3CDTF">2026-10-02T01:33:01.006Z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是</vt:lpwstr>
  </property>
  <property fmtid="{D5CDD505-2E9C-101B-9397-08002B2CF9AE}" pid="3" name="AIGCServiceProvider">
    <vt:lpwstr>igaoda.cn</vt:lpwstr>
  </property>
  <property fmtid="{D5CDD505-2E9C-101B-9397-08002B2CF9AE}" pid="4" name="AIGCContentID">
    <vt:lpwstr>202610026646001886-9d883980-1</vt:lpwstr>
  </property>
  <property fmtid="{D5CDD505-2E9C-101B-9397-08002B2CF9AE}" pid="5" name="AIGCProduct">
    <vt:lpwstr>课程作业</vt:lpwstr>
  </property>
</Properties>
</file>